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3D9CE677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85FAE">
        <w:rPr>
          <w:rFonts w:ascii="Sylfaen" w:hAnsi="Sylfaen" w:cs="Sylfaen"/>
          <w:sz w:val="20"/>
          <w:lang w:val="ka-GE"/>
        </w:rPr>
        <w:t>„</w:t>
      </w:r>
      <w:r w:rsidR="00AE7E8A">
        <w:rPr>
          <w:rFonts w:ascii="Sylfaen" w:hAnsi="Sylfaen" w:cs="Sylfaen"/>
          <w:sz w:val="20"/>
          <w:lang w:val="ka-GE"/>
        </w:rPr>
        <w:t xml:space="preserve">აკად. ზ. ცხაკაიას სახელობის დასავლეთ საქართველოს ინტერვენციული მედიცინის ეროვნული ცენტრის  </w:t>
      </w:r>
      <w:r w:rsidR="004F2941">
        <w:rPr>
          <w:rFonts w:ascii="Sylfaen" w:hAnsi="Sylfaen" w:cs="Sylfaen"/>
          <w:sz w:val="20"/>
          <w:lang w:val="ka-GE"/>
        </w:rPr>
        <w:t>დაშენების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15D5F14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„სამედიცინო კორპორაცია 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7BD1663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AE7E8A">
        <w:rPr>
          <w:rFonts w:ascii="Sylfaen" w:hAnsi="Sylfaen" w:cs="Sylfaen"/>
          <w:sz w:val="20"/>
          <w:lang w:val="ka-GE"/>
        </w:rPr>
        <w:t xml:space="preserve">5 აპრილის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1D1B4233" w:rsidR="001213AD" w:rsidRPr="00C63B85" w:rsidRDefault="00E3463C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28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EBCC9C5" w:rsidR="001213AD" w:rsidRPr="00C63B85" w:rsidRDefault="00E3463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</w:t>
            </w:r>
            <w:r w:rsidR="0040790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56D29F29" w:rsidR="001213AD" w:rsidRPr="00C63B85" w:rsidRDefault="00E3463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10 აპრილი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69F17699" w:rsidR="001213AD" w:rsidRPr="00C63B85" w:rsidRDefault="00E3463C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15 აპრილი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55E004F8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1DF32606" w:rsidR="001F33F7" w:rsidRPr="008D187E" w:rsidRDefault="0042617C" w:rsidP="00F47094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„სამედიცინო კორპორაცია ევექსი</w:t>
      </w:r>
      <w:r w:rsidR="0040790A">
        <w:rPr>
          <w:rFonts w:ascii="Sylfaen" w:hAnsi="Sylfaen" w:cs="Sylfaen"/>
          <w:sz w:val="20"/>
          <w:lang w:val="ka-GE"/>
        </w:rPr>
        <w:t>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>
        <w:rPr>
          <w:rFonts w:ascii="Sylfaen" w:hAnsi="Sylfaen" w:cs="Sylfaen"/>
          <w:sz w:val="20"/>
          <w:lang w:val="ka-GE"/>
        </w:rPr>
        <w:t>ქუთაისში,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E3463C">
        <w:rPr>
          <w:rFonts w:ascii="Sylfaen" w:hAnsi="Sylfaen" w:cs="Sylfaen"/>
          <w:sz w:val="20"/>
          <w:lang w:val="ka-GE"/>
        </w:rPr>
        <w:t xml:space="preserve">ჯავახიშვილის 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21108" w:rsidRPr="008D187E">
        <w:rPr>
          <w:rFonts w:ascii="Sylfaen" w:hAnsi="Sylfaen" w:cs="Sylfaen"/>
          <w:sz w:val="20"/>
          <w:lang w:val="ka-GE"/>
        </w:rPr>
        <w:t>ქ. #</w:t>
      </w:r>
      <w:r w:rsidR="00E3463C">
        <w:rPr>
          <w:rFonts w:ascii="Sylfaen" w:hAnsi="Sylfaen" w:cs="Sylfaen"/>
          <w:sz w:val="20"/>
          <w:lang w:val="ka-GE"/>
        </w:rPr>
        <w:t>83ა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E3463C">
        <w:rPr>
          <w:rFonts w:ascii="Sylfaen" w:hAnsi="Sylfaen" w:cs="Sylfaen"/>
          <w:sz w:val="20"/>
          <w:lang w:val="ka-GE"/>
        </w:rPr>
        <w:t>აკად. ზ ცხაკაიას სახელობის დასავლეთ საქართველოს</w:t>
      </w:r>
      <w:r w:rsidR="00AD375C">
        <w:rPr>
          <w:rFonts w:ascii="Sylfaen" w:hAnsi="Sylfaen" w:cs="Sylfaen"/>
          <w:sz w:val="20"/>
          <w:lang w:val="ka-GE"/>
        </w:rPr>
        <w:t xml:space="preserve"> ინტერვენციული მედიცინის</w:t>
      </w:r>
      <w:r w:rsidR="00E3463C">
        <w:rPr>
          <w:rFonts w:ascii="Sylfaen" w:hAnsi="Sylfaen" w:cs="Sylfaen"/>
          <w:sz w:val="20"/>
          <w:lang w:val="ka-GE"/>
        </w:rPr>
        <w:t xml:space="preserve"> ეროვნული ცენტრის</w:t>
      </w:r>
      <w:r w:rsidR="006A7E0F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  <w:r w:rsidR="004F2941">
        <w:rPr>
          <w:rFonts w:ascii="Sylfaen" w:hAnsi="Sylfaen" w:cs="Sylfaen"/>
          <w:sz w:val="20"/>
          <w:lang w:val="ka-GE"/>
        </w:rPr>
        <w:t xml:space="preserve">დაშენების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სატენდერო </w:t>
      </w:r>
      <w:bookmarkStart w:id="0" w:name="_GoBack"/>
      <w:bookmarkEnd w:id="0"/>
      <w:r>
        <w:rPr>
          <w:rFonts w:ascii="Sylfaen" w:hAnsi="Sylfaen" w:cs="Sylfaen"/>
          <w:sz w:val="20"/>
          <w:lang w:val="ka-GE"/>
        </w:rPr>
        <w:t>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00879A02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4F2941">
        <w:rPr>
          <w:rFonts w:ascii="Sylfaen" w:hAnsi="Sylfaen" w:cs="Sylfaen"/>
          <w:sz w:val="20"/>
          <w:lang w:val="ka-GE"/>
        </w:rPr>
        <w:t>89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Pr="00F47094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65053AA0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განსაზღვრულია </w:t>
      </w:r>
      <w:r w:rsidR="005A302A">
        <w:rPr>
          <w:rFonts w:ascii="Sylfaen" w:hAnsi="Sylfaen" w:cs="Sylfaen"/>
          <w:sz w:val="20"/>
          <w:lang w:val="en-US"/>
        </w:rPr>
        <w:t>45</w:t>
      </w:r>
      <w:r w:rsidRPr="00F130B3">
        <w:rPr>
          <w:rFonts w:ascii="Sylfaen" w:hAnsi="Sylfaen" w:cs="Sylfaen"/>
          <w:sz w:val="20"/>
          <w:lang w:val="ka-GE"/>
        </w:rPr>
        <w:t xml:space="preserve"> (</w:t>
      </w:r>
      <w:r w:rsidR="005A302A">
        <w:rPr>
          <w:rFonts w:ascii="Sylfaen" w:hAnsi="Sylfaen" w:cs="Sylfaen"/>
          <w:sz w:val="20"/>
          <w:lang w:val="ka-GE"/>
        </w:rPr>
        <w:t>ორმოცდა ხუთი</w:t>
      </w:r>
      <w:r w:rsidRPr="00F130B3">
        <w:rPr>
          <w:rFonts w:ascii="Sylfaen" w:hAnsi="Sylfaen" w:cs="Sylfaen"/>
          <w:sz w:val="20"/>
          <w:lang w:val="ka-GE"/>
        </w:rPr>
        <w:t>) 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634C7554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5A302A">
        <w:rPr>
          <w:rFonts w:ascii="Sylfaen" w:hAnsi="Sylfaen" w:cs="Sylfaen"/>
          <w:sz w:val="20"/>
          <w:lang w:val="ka-GE"/>
        </w:rPr>
        <w:t xml:space="preserve">17 </w:t>
      </w:r>
      <w:r w:rsidR="00000C88" w:rsidRPr="00F130B3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აპრილი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73070C30" w:rsidR="006B056D" w:rsidRPr="008D187E" w:rsidRDefault="004F2941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დასაშენებელი</w:t>
      </w:r>
      <w:r w:rsidR="005A302A">
        <w:rPr>
          <w:rFonts w:ascii="Sylfaen" w:hAnsi="Sylfaen" w:cs="Sylfaen"/>
          <w:sz w:val="20"/>
          <w:lang w:val="ka-GE"/>
        </w:rPr>
        <w:t xml:space="preserve"> </w:t>
      </w:r>
      <w:r w:rsidR="005A302A" w:rsidRPr="008D187E">
        <w:rPr>
          <w:rFonts w:ascii="Sylfaen" w:hAnsi="Sylfaen" w:cs="Sylfaen"/>
          <w:sz w:val="20"/>
          <w:lang w:val="ka-GE"/>
        </w:rPr>
        <w:t xml:space="preserve"> </w:t>
      </w:r>
      <w:r w:rsidR="005A302A"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3976B747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4F2941">
        <w:rPr>
          <w:rFonts w:ascii="Sylfaen" w:hAnsi="Sylfaen" w:cs="Sylfaen"/>
          <w:sz w:val="20"/>
          <w:lang w:val="ka-GE"/>
        </w:rPr>
        <w:t>დასაშენებელი</w:t>
      </w:r>
      <w:r w:rsidR="000549DB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6A465A92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4F2941">
        <w:rPr>
          <w:rFonts w:ascii="Sylfaen" w:hAnsi="Sylfaen" w:cs="Sylfaen"/>
          <w:i/>
          <w:sz w:val="20"/>
          <w:lang w:val="ka-GE"/>
        </w:rPr>
        <w:t>დასაშენებელი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4F2941">
        <w:rPr>
          <w:rFonts w:ascii="Sylfaen" w:hAnsi="Sylfaen" w:cs="Sylfaen"/>
          <w:i/>
          <w:sz w:val="20"/>
          <w:lang w:val="ka-GE"/>
        </w:rPr>
        <w:t>დასაშენებელი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C977B0">
        <w:rPr>
          <w:rFonts w:ascii="Sylfaen" w:hAnsi="Sylfaen" w:cs="Sylfaen"/>
          <w:i/>
          <w:sz w:val="20"/>
          <w:lang w:val="ka-GE"/>
        </w:rPr>
        <w:t>დასაშენებლი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lastRenderedPageBreak/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A2196DB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6134F6">
        <w:rPr>
          <w:rFonts w:ascii="Sylfaen" w:hAnsi="Sylfaen" w:cs="Sylfaen"/>
          <w:sz w:val="20"/>
          <w:lang w:val="ka-GE"/>
        </w:rPr>
        <w:t>5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AE7E8A">
        <w:rPr>
          <w:rFonts w:ascii="Sylfaen" w:hAnsi="Sylfaen" w:cs="Sylfaen"/>
          <w:sz w:val="20"/>
          <w:lang w:val="ka-GE"/>
        </w:rPr>
        <w:t>აპრილ</w:t>
      </w:r>
      <w:r w:rsidR="0036155F">
        <w:rPr>
          <w:rFonts w:ascii="Sylfaen" w:hAnsi="Sylfaen" w:cs="Sylfaen"/>
          <w:sz w:val="20"/>
          <w:lang w:val="ka-GE"/>
        </w:rPr>
        <w:t xml:space="preserve">ის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5DD36FC4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000C88" w:rsidRPr="00F130B3">
        <w:rPr>
          <w:rFonts w:ascii="Sylfaen" w:hAnsi="Sylfaen" w:cstheme="minorHAnsi"/>
          <w:sz w:val="20"/>
          <w:lang w:val="ka-GE"/>
        </w:rPr>
        <w:t>მამუკა გაბელია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="0036501D" w:rsidRPr="0036501D">
          <w:rPr>
            <w:rStyle w:val="Hyperlink"/>
            <w:rFonts w:asciiTheme="minorHAnsi" w:hAnsiTheme="minorHAnsi" w:cstheme="minorHAnsi"/>
            <w:sz w:val="20"/>
            <w:lang w:val="en-US"/>
          </w:rPr>
          <w:t>m.gabelia@evex.ge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+99595953055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9505D" w14:textId="77777777" w:rsidR="00184FE0" w:rsidRDefault="00184FE0">
      <w:r>
        <w:separator/>
      </w:r>
    </w:p>
  </w:endnote>
  <w:endnote w:type="continuationSeparator" w:id="0">
    <w:p w14:paraId="2225202B" w14:textId="77777777" w:rsidR="00184FE0" w:rsidRDefault="0018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86C0" w14:textId="77777777" w:rsidR="00184FE0" w:rsidRDefault="00184FE0">
      <w:r>
        <w:separator/>
      </w:r>
    </w:p>
  </w:footnote>
  <w:footnote w:type="continuationSeparator" w:id="0">
    <w:p w14:paraId="6023845B" w14:textId="77777777" w:rsidR="00184FE0" w:rsidRDefault="0018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0A95066A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,,სამედიცინო კორპორაცია ევე</w:t>
          </w:r>
          <w:r w:rsidR="00626763">
            <w:rPr>
              <w:rFonts w:ascii="Sylfaen" w:hAnsi="Sylfaen" w:cs="Sylfaen"/>
              <w:sz w:val="20"/>
              <w:lang w:val="ka-GE"/>
            </w:rPr>
            <w:t>ქ</w:t>
          </w:r>
          <w:r>
            <w:rPr>
              <w:rFonts w:ascii="Sylfaen" w:hAnsi="Sylfaen" w:cs="Sylfaen"/>
              <w:sz w:val="20"/>
              <w:lang w:val="ka-GE"/>
            </w:rPr>
            <w:t>სი“-</w:t>
          </w:r>
          <w:r w:rsidR="00F47094">
            <w:rPr>
              <w:rFonts w:ascii="Sylfaen" w:hAnsi="Sylfaen" w:cs="Sylfaen"/>
              <w:sz w:val="20"/>
              <w:lang w:val="ka-GE"/>
            </w:rPr>
            <w:t>„</w:t>
          </w:r>
          <w:r w:rsidR="007F02DC">
            <w:rPr>
              <w:rFonts w:ascii="Sylfaen" w:hAnsi="Sylfaen" w:cs="Sylfaen"/>
              <w:sz w:val="20"/>
              <w:lang w:val="ka-GE"/>
            </w:rPr>
            <w:t>აკად. ზ. ცხაკაიას სახელობის დასავლეთ საქართველოს ინტერვენციული მედიცინის ეროვნული ცენტრის</w:t>
          </w:r>
          <w:r w:rsidR="00F47094">
            <w:rPr>
              <w:rFonts w:ascii="Sylfaen" w:hAnsi="Sylfaen" w:cs="Sylfaen"/>
              <w:sz w:val="20"/>
              <w:lang w:val="ka-GE"/>
            </w:rPr>
            <w:t>“</w:t>
          </w:r>
          <w:r w:rsidR="007F02DC">
            <w:rPr>
              <w:rFonts w:ascii="Sylfaen" w:hAnsi="Sylfaen" w:cs="Sylfaen"/>
              <w:sz w:val="20"/>
              <w:lang w:val="ka-GE"/>
            </w:rPr>
            <w:t xml:space="preserve">  </w:t>
          </w:r>
          <w:r w:rsidR="004F2941">
            <w:rPr>
              <w:rFonts w:ascii="Sylfaen" w:hAnsi="Sylfaen" w:cs="Sylfaen"/>
              <w:sz w:val="20"/>
              <w:lang w:val="ka-GE"/>
            </w:rPr>
            <w:t>დაშენების</w:t>
          </w:r>
          <w:r w:rsidR="007F02DC" w:rsidRPr="008D187E">
            <w:rPr>
              <w:rFonts w:ascii="Sylfaen" w:hAnsi="Sylfaen" w:cs="Sylfaen"/>
              <w:sz w:val="20"/>
              <w:lang w:val="ka-GE"/>
            </w:rPr>
            <w:t xml:space="preserve"> 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95EFD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35177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6D3F"/>
    <w:rsid w:val="00F41D13"/>
    <w:rsid w:val="00F42729"/>
    <w:rsid w:val="00F44B95"/>
    <w:rsid w:val="00F47094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gabel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4745-3F3A-4288-A184-110F7ED9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14</cp:revision>
  <cp:lastPrinted>2018-06-11T07:22:00Z</cp:lastPrinted>
  <dcterms:created xsi:type="dcterms:W3CDTF">2019-03-07T21:54:00Z</dcterms:created>
  <dcterms:modified xsi:type="dcterms:W3CDTF">2019-03-26T13:05:00Z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